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graffiana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2:118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310, 1980): W.A., J. Drummond s.n. (MEL, flowering specimen); isolectotype: PERTH. Remaining syntype: W.A., J. Drummond s.n. (K, MEL, PERTH, fruiting specimens)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