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cyanophylla</w:t>
      </w:r>
      <w:r>
        <w:t xml:space="preserve"> Lindl.</w:t>
      </w:r>
      <w:r w:rsidR="00780DEE" w:rsidRPr="00780DEE">
        <w:rPr>
          <w:i/>
        </w:rPr>
        <w:t xml:space="preserve"> Edwards's Bot. Reg.</w:t>
      </w:r>
      <w:proofErr w:type="spellStart"/>
      <w:r w:rsidR="00780DEE">
        <w:t xml:space="preserve"> 25: misc:45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Fl. Australia 11A: 416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saligna</w:t>
      </w:r>
      <w:proofErr w:type="spellEnd"/>
      <w:r>
        <w:t xml:space="preserve"> (Labill.) H.L.Wendl.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Swan River, W.A., J. Mangles (CGE)</w:t>
      </w:r>
      <w:proofErr w:type="spellEnd"/>
      <w:r w:rsidRPr="009A6983">
        <w:rPr>
          <w:b/>
        </w:rPr>
        <w:t xml:space="preserve"> Source:</w:t>
      </w:r>
      <w:r>
        <w:t xml:space="preserve"> Fl. Australia 11A: 416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