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&amp; R.S. Cowan, Nuytsia 10: 112, 1995): Acacia armata, Kew, 1809 [William McNab] (DBN, flowering specimen)</w:t>
      </w:r>
      <w:proofErr w:type="spellEnd"/>
      <w:r w:rsidRPr="009A6983">
        <w:rPr>
          <w:b/>
        </w:rPr>
        <w:t xml:space="preserve"> Source:</w:t>
      </w:r>
      <w:r>
        <w:t xml:space="preserve"> Maslin &amp; Cowan (1995: 112); Fl. Australia 11A: 593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