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turbata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9(2):314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P. Kodela (pers. comm.)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pallidifolia</w:t>
      </w:r>
      <w:proofErr w:type="spellEnd"/>
      <w:r>
        <w:t xml:space="preserve"> (Tindale)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turbata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