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leprosa</w:t>
      </w:r>
      <w:proofErr w:type="spellEnd"/>
      <w:r>
        <w:t xml:space="preserve"> Sieber ex DC.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leprosa var. binervis F.Muell. 1859.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leprosa</w:t>
      </w:r>
      <w:r>
        <w:t xml:space="preserve"> Sieber ex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 (type variant)</w:t>
      </w:r>
      <w:r>
        <w:t xml:space="preserve"> ms</w:t>
      </w:r>
      <w:r>
        <w:t xml:space="preserve"> sens. T.J.Entwisle et al.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 first variant</w:t>
      </w:r>
      <w:r>
        <w:t xml:space="preserve"> sens. Maslin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 (type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3:619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</w:t>
      </w:r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(excluding elements referable to Victoria).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 first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