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yorkrakinensis</w:t>
      </w:r>
      <w:r>
        <w:t xml:space="preserve"> C.A.Gardner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27:174</w:t>
      </w:r>
      <w:proofErr w:type="spellEnd"/>
      <w:r w:rsidR="00780DEE">
        <w:t xml:space="preserve"> (1942)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Yorkrakine, W.A., Aug. 1920, C.A. Gardner s.n. (PERTH)</w:t>
      </w:r>
      <w:proofErr w:type="spellEnd"/>
      <w:r w:rsidRPr="009A6983">
        <w:rPr>
          <w:b/>
        </w:rPr>
        <w:t xml:space="preserve"> Source:</w:t>
      </w:r>
      <w:r>
        <w:t xml:space="preserve"> Fl. Australia 11B: 284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(subsp.acrita, subsp.yorkrakinensis)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yorkrakinense</w:t>
      </w:r>
      <w:r>
        <w:t xml:space="preserve"> (C.A.Gardner)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yorkrakinense</w:t>
      </w:r>
      <w:r>
        <w:t xml:space="preserve"> (C.A.Gardner)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yorkrakinensis</w:t>
      </w:r>
      <w:proofErr w:type="spellEnd"/>
      <w:r>
        <w:t xml:space="preserve"> C.A.Gardner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yorkrakinensis</w:t>
      </w:r>
      <w:r>
        <w:t xml:space="preserve"> C.A.Gardner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