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tetragonocarpa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413, 1994): near Spencer?s property [i.e. Strawberry Hill farm, Albany], W.A., 8 Dec. 184 L. Preiss 8 (LD); isolectotype: G, NY, P, W</w:t>
      </w:r>
      <w:proofErr w:type="spellEnd"/>
      <w:r w:rsidRPr="009A6983">
        <w:rPr>
          <w:b/>
        </w:rPr>
        <w:t xml:space="preserve"> Source:</w:t>
      </w:r>
      <w:r>
        <w:t xml:space="preserve"> Fl. Australia 11A: 527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tetragonocarpa</w:t>
      </w:r>
      <w:r w:rsidR="00041308">
        <w:t xml:space="preserve"> var.</w:t>
      </w:r>
      <w:r w:rsidR="00041308" w:rsidRPr="00815E7D">
        <w:rPr>
          <w:i/>
        </w:rPr>
        <w:t xml:space="preserve"> tetragonocarpa</w:t>
      </w:r>
      <w:r>
        <w:t xml:space="preserve"> Meisn.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tetragonocarpa</w:t>
      </w:r>
      <w:r w:rsidR="00041308">
        <w:t xml:space="preserve"> f.</w:t>
      </w:r>
      <w:r w:rsidR="00041308" w:rsidRPr="00815E7D">
        <w:rPr>
          <w:i/>
        </w:rPr>
        <w:t xml:space="preserve"> tetragonocarpa</w:t>
      </w:r>
      <w:r>
        <w:t xml:space="preserve"> Meisn.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Tetracheilos meissneri</w:t>
      </w:r>
      <w:r>
        <w:t xml:space="preserve"> Lehm.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tetragonocarpum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tetragonocarpa</w:t>
      </w:r>
      <w:proofErr w:type="spellEnd"/>
      <w:r>
        <w:t xml:space="preserve"> Meisn.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tetragonocarpa var. scabra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tetragonocarpa</w:t>
      </w:r>
      <w:proofErr w:type="spellEnd"/>
      <w:r>
        <w:t xml:space="preserve"> Meisn.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tetragonocarpa f. scabra (Benth.)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Tetracheilos meissneri</w:t>
      </w:r>
      <w:r>
        <w:t xml:space="preserve"> Lehm.</w:t>
      </w:r>
      <w:r w:rsidR="00780DEE" w:rsidRPr="00780DEE">
        <w:rPr>
          <w:i/>
        </w:rPr>
        <w:t xml:space="preserve"> in J.G.C.Lehmann, Pl. Priess.</w:t>
      </w:r>
      <w:proofErr w:type="spellStart"/>
      <w:r w:rsidR="00780DEE">
        <w:t xml:space="preserve"> 2:368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tetragonocarpa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tetragonocarpum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tetragonocarpa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