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sessilis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1839, J. Drummond s.n. (K);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540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sphacelata</w:t>
      </w:r>
      <w:r w:rsidR="00041308">
        <w:t xml:space="preserve"> var.</w:t>
      </w:r>
      <w:r w:rsidR="00041308" w:rsidRPr="00815E7D">
        <w:rPr>
          <w:i/>
        </w:rPr>
        <w:t xml:space="preserve"> sessilis</w:t>
      </w:r>
      <w:r>
        <w:t xml:space="preserve"> (Benth.)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sessile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sphacelata</w:t>
      </w:r>
      <w:r>
        <w:t xml:space="preserve"> sens. auct. pl.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sphacelata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sessilis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sessilis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sessile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sessilis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sphacelata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11A:540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B.R. Maslin &amp; L. Pedley, W.A. Herb. Res. Notes 6: 111 (1982); W.R.Elliot &amp; D.L.Jones, Encyl. Austral. Pl., 2: 116 (1982).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