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quadrimarginea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10:31</w:t>
      </w:r>
      <w:proofErr w:type="spellEnd"/>
      <w:r w:rsidR="00780DEE">
        <w:t xml:space="preserve"> (1876)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Ularring and 121°25’E, W.A., 10?15 Oct. 1875, [J.] Youn (MEL); isotypes: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308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quadrimarginum</w:t>
      </w:r>
      <w:r>
        <w:t xml:space="preserve"> (F.Muell.)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>
        <w:t xml:space="preserve"> sens. S.Moore</w:t>
      </w:r>
      <w:r>
        <w:t xml:space="preserve"> (1899)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quadrimarginum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quadrimarginea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quadrimarginea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r>
        <w:t xml:space="preserve"> sens. S.Moore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34:189</w:t>
      </w:r>
      <w:proofErr w:type="spellEnd"/>
      <w:r w:rsidR="00780DEE">
        <w:t xml:space="preserve"> (1899)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308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quadrimarginea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