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pycnocephala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2:281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19.5 km S of Lake King towards Ravensthorpe, W.A., 28 Aug. 1973, B.R. Maslin 3440 (PERTH); isotypes: CANB, K, LY, MEL, NSW</w:t>
      </w:r>
      <w:proofErr w:type="spellEnd"/>
      <w:r w:rsidRPr="009A6983">
        <w:rPr>
          <w:b/>
        </w:rPr>
        <w:t xml:space="preserve"> Source:</w:t>
      </w:r>
      <w:r>
        <w:t xml:space="preserve"> Fl. Australia 11A: 508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pycnocephalum</w:t>
      </w:r>
      <w:r>
        <w:t xml:space="preserve"> (Maslin)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horridula</w:t>
      </w:r>
      <w:r>
        <w:t xml:space="preserve"> Meisn.</w:t>
      </w:r>
      <w:r>
        <w:t xml:space="preserve"> (1844)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pycnocephalum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pycnocephala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pycnocephala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horridula</w:t>
      </w:r>
      <w:r>
        <w:t xml:space="preserve"> Meisn.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1:9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Fl. Australia 11A: 508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pycnocephala</w:t>
      </w:r>
      <w:proofErr w:type="spellEnd"/>
      <w:r>
        <w:t xml:space="preserve"> Maslin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and G. Bentham, Fl. Austral. 2: 350 (1864), pro parte, not as to lectotype, as to L. Preiss 965 (LUND, NY).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