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orthocarpa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3:136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McArthur River, [N.T.], F. Mueller 4 (MEL n.v.);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INDIAN SUBCONTINENT [I]: India (Delhi)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xylocarpa</w:t>
      </w:r>
      <w:r w:rsidR="00041308">
        <w:t xml:space="preserve"> var.</w:t>
      </w:r>
      <w:r w:rsidR="00041308" w:rsidRPr="00815E7D">
        <w:rPr>
          <w:i/>
        </w:rPr>
        <w:t xml:space="preserve"> xylocarpa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orthocarpum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pityoides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xylocarpa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xylocarpa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xylocarpa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xylocarpa var. tenuissima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orthocarpum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orthocarpa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pityoides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 Pedley, Proc. Roy. Soc. Queensland 75: 34, 1964): Sturt?s [Sturt] Ck, [W.A./N., F. Mueller 5 (MEL);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xylocarpa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Dampiers Arch., W.A., Feb. 1818, A. Cunningham 119 (K); isotype: BM n.v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