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nigricans</w:t>
      </w:r>
      <w:r>
        <w:t xml:space="preserve"> (Labill.) R.Br.</w:t>
      </w:r>
      <w:r w:rsidR="00780DEE" w:rsidRPr="00780DEE">
        <w:rPr>
          <w:i/>
        </w:rPr>
        <w:t xml:space="preserve"> in W.T.Aiton, Hort. Kew. Ed. 2</w:t>
      </w:r>
      <w:proofErr w:type="spellStart"/>
      <w:r w:rsidR="00780DEE">
        <w:t xml:space="preserve"> 5:465</w:t>
      </w:r>
      <w:proofErr w:type="spellEnd"/>
      <w:r w:rsidR="00780DEE">
        <w:t xml:space="preserve"> (1813)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nigricans</w:t>
      </w:r>
      <w:r>
        <w:t xml:space="preserve"> Labill.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nigricans</w:t>
      </w:r>
      <w:r>
        <w:t xml:space="preserve"> Labill.</w:t>
      </w:r>
      <w:r>
        <w:t xml:space="preserve"> (Mar. 1807)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nigricans</w:t>
      </w:r>
      <w:r w:rsidR="00041308">
        <w:t xml:space="preserve"> var.</w:t>
      </w:r>
      <w:r w:rsidR="00041308" w:rsidRPr="00815E7D">
        <w:rPr>
          <w:i/>
        </w:rPr>
        <w:t xml:space="preserve"> nigricans</w:t>
      </w:r>
      <w:r>
        <w:t xml:space="preserve"> (Labill.) R.Br.</w:t>
      </w:r>
      <w:r>
        <w:t xml:space="preserve"> (1848)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nigricans</w:t>
      </w:r>
      <w:r>
        <w:t xml:space="preserve"> (Labill.)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rutaefolia</w:t>
      </w:r>
      <w:r>
        <w:t xml:space="preserve"> Link</w:t>
      </w:r>
      <w:r>
        <w:t xml:space="preserve"> (1822)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rutifolia</w:t>
      </w:r>
      <w:r>
        <w:t xml:space="preserve"> Link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rutaefolia</w:t>
      </w:r>
      <w:r>
        <w:t xml:space="preserve"> Aiton ex Steud.</w:t>
      </w:r>
      <w:r>
        <w:t xml:space="preserve"> (1840)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ignorata</w:t>
      </w:r>
      <w:r>
        <w:t xml:space="preserve"> K.Koch</w:t>
      </w:r>
      <w:r>
        <w:t xml:space="preserve"> (1858)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pentadenia</w:t>
      </w:r>
      <w:r>
        <w:t xml:space="preserve"> hort. ex K.Koch</w:t>
      </w:r>
      <w:r>
        <w:t xml:space="preserve"> (1858)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obscura</w:t>
      </w:r>
      <w:r>
        <w:t xml:space="preserve"> sens.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nigricans</w:t>
      </w:r>
      <w:r>
        <w:t xml:space="preserve"> Labill.</w:t>
      </w:r>
      <w:r w:rsidR="00780DEE" w:rsidRPr="00780DEE">
        <w:rPr>
          <w:i/>
        </w:rPr>
        <w:t xml:space="preserve"> Nov. Holl. Pl.</w:t>
      </w:r>
      <w:proofErr w:type="spellStart"/>
      <w:r w:rsidR="00780DEE">
        <w:t xml:space="preserve"> 2:88</w:t>
      </w:r>
      <w:proofErr w:type="spellEnd"/>
      <w:r w:rsidR="00780DEE">
        <w:t xml:space="preserve"> (Mar. 1807)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Maslin, Nuytsia 1: 438, 1975): south western Australia [Esperance, W.A.], herb. Webbianum ex herb. Labillardiere (FI); isolectototypes: B, FI, P, RO, TCD.</w:t>
      </w:r>
      <w:proofErr w:type="spellEnd"/>
      <w:r w:rsidRPr="009A6983">
        <w:rPr>
          <w:b/>
        </w:rPr>
        <w:t xml:space="preserve"> Source:</w:t>
      </w:r>
      <w:r>
        <w:t xml:space="preserve"> Fl. Australia 11B: 403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non Vahl (1807). Mimosa nigricans Vahl, for which no precise date of publication can be found, is presumed to post-date M. nigrican Labill.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nigricans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nigricans</w:t>
      </w:r>
      <w:proofErr w:type="spellEnd"/>
      <w:r>
        <w:t xml:space="preserve"> (Labill.) R.Br.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2:204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nigricans var. subracemosa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nigricans</w:t>
      </w:r>
      <w:r>
        <w:t xml:space="preserve"> (Labill.)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nigricans</w:t>
      </w:r>
      <w:r>
        <w:t xml:space="preserve"> Labill.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rutaefolia</w:t>
      </w:r>
      <w:r>
        <w:t xml:space="preserve"> Link</w:t>
      </w:r>
      <w:r w:rsidR="00780DEE" w:rsidRPr="00780DEE">
        <w:rPr>
          <w:i/>
        </w:rPr>
        <w:t xml:space="preserve"> Enum. Hort. Berol. Alt.</w:t>
      </w:r>
      <w:proofErr w:type="spellStart"/>
      <w:r w:rsidR="00780DEE">
        <w:t xml:space="preserve"> 2:444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superfluous, based by implication on Acacia nigricans.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rutifolia</w:t>
      </w:r>
      <w:r>
        <w:t xml:space="preserve"> Link</w:t>
      </w:r>
      <w:r w:rsidR="00780DEE" w:rsidRPr="00780DEE">
        <w:rPr>
          <w:i/>
        </w:rPr>
        <w:t xml:space="preserve"> IPNI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'rutaefolia Link'.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rutaefolia</w:t>
      </w:r>
      <w:r>
        <w:t xml:space="preserve"> Aiton ex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1:8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Steudel attributes this name to Aiton, with the basionym given as Mimosa rutaefolia Hort. and a reference to De Candolle's Prodromus 235. This reference is to Acacia sp. no 235, A? rutaefolia (Link enum. 2 p. 444). Acacia rutaefolia Link is now considered to be a synonym of Acacia nigricans.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ignorata</w:t>
      </w:r>
      <w:r>
        <w:t xml:space="preserve"> K.Koch</w:t>
      </w:r>
      <w:r w:rsidR="00780DEE" w:rsidRPr="00780DEE">
        <w:rPr>
          <w:i/>
        </w:rPr>
        <w:t xml:space="preserve"> Allg. Gartenzeitung</w:t>
      </w:r>
      <w:proofErr w:type="spellStart"/>
      <w:r w:rsidR="00780DEE">
        <w:t xml:space="preserve"> 26:195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cited; based on a cultivated specimen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pentadenia</w:t>
      </w:r>
      <w:r>
        <w:t xml:space="preserve"> hort. ex K.Koch</w:t>
      </w:r>
      <w:r w:rsidR="00780DEE" w:rsidRPr="00780DEE">
        <w:rPr>
          <w:i/>
        </w:rPr>
        <w:t xml:space="preserve"> Allg. Gartenzeitung</w:t>
      </w:r>
      <w:proofErr w:type="spellStart"/>
      <w:r w:rsidR="00780DEE">
        <w:t xml:space="preserve"> 26:195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 pro syn., non Lindley (1832).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obscura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2:418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pro parte, as to R.Brown, Goose Island Bay.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