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multilineata</w:t>
      </w:r>
      <w:r>
        <w:t xml:space="preserve"> W.Fitzg.</w:t>
      </w:r>
      <w:r w:rsidR="00780DEE" w:rsidRPr="00780DEE">
        <w:rPr>
          <w:i/>
        </w:rPr>
        <w:t xml:space="preserve"> J. Western Australia Nat. Hist. Soc.</w:t>
      </w:r>
      <w:proofErr w:type="spellStart"/>
      <w:r w:rsidR="00780DEE">
        <w:t xml:space="preserve"> 1:13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82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lineolata</w:t>
      </w:r>
      <w:proofErr w:type="spellEnd"/>
      <w:r>
        <w:t xml:space="preserve"> (W.Fitzg.) R.S.Cowan &amp;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 &amp; R.S. Cowan 1994b: 391): Arrino, W.A., Sept. 1903, W.V. Fitzgerald s.n. (NSW 216915 - left-hand specimen on sheet); isolectotypes: NSW 216915 - right-hand specimen, PERTH 00765791, 00765805 &amp; 00765813</w:t>
      </w:r>
      <w:proofErr w:type="spellEnd"/>
      <w:r w:rsidRPr="009A6983">
        <w:rPr>
          <w:b/>
        </w:rPr>
        <w:t xml:space="preserve"> Source:</w:t>
      </w:r>
      <w:r>
        <w:t xml:space="preserve"> Fl. Australia 11B: 83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