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maxwellii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13:7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Fitzgerald Range, W.A., G. Maxwell (NSW)</w:t>
      </w:r>
      <w:proofErr w:type="spellEnd"/>
      <w:r w:rsidRPr="009A6983">
        <w:rPr>
          <w:b/>
        </w:rPr>
        <w:t xml:space="preserve"> Source:</w:t>
      </w:r>
      <w:r>
        <w:t xml:space="preserve"> Fl. Australia 11A: 415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maxwellii</w:t>
      </w:r>
      <w:r>
        <w:t xml:space="preserve"> (Maiden &amp; Blakely)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ramosissima</w:t>
      </w:r>
      <w:r>
        <w:t xml:space="preserve">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maxwellii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maxwellii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maxwellii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ramosissima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1:356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415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maxwellii</w:t>
      </w:r>
      <w:proofErr w:type="spellEnd"/>
      <w:r>
        <w:t xml:space="preserve"> Maiden &amp; Blakely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G. Bentham, Fl. Austral. 2: 360, 1864): south-western W.A., J. Drummond ?3 or 4: 79 (in fruit) (K). Remaining syntype: King George Sound, W.A., W. Baxter [as 'Bagster'] (n.v.)</w:t>
      </w:r>
      <w:proofErr w:type="spellEnd"/>
      <w:r w:rsidRPr="009A6983">
        <w:rPr>
          <w:b/>
        </w:rPr>
        <w:t xml:space="preserve"> Source:</w:t>
      </w:r>
      <w:r>
        <w:t xml:space="preserve"> Fl. Australia 11A: 415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Martius ex Colla (1834).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