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marramamba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4:94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Marandoo Ridge, Hamersley Range, W.A., 24 June 1975, M. Trudgen 1338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11A: 387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marramamba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marramamba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marramamba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marramamba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