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luteola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1:453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Porongurup Range, W.A., 3 Mar. 1922, C.A. Gardner 1287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luteolum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ciliata</w:t>
      </w:r>
      <w:r>
        <w:t xml:space="preserve"> R.Br.</w:t>
      </w:r>
      <w:r>
        <w:t xml:space="preserve"> (1813)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 w:rsidR="00041308">
        <w:t xml:space="preserve"> var.</w:t>
      </w:r>
      <w:r w:rsidR="00041308" w:rsidRPr="00815E7D">
        <w:rPr>
          <w:i/>
        </w:rPr>
        <w:t xml:space="preserve"> canescens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ovoidea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luteolum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luteola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5:465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neotype, as to upper right-hand specimen on R.Brown '4321' (BM).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410): King George Sound [Albany], W.A., L. Preiss 910 (LD); isolectotype: NY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ovoidea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towards Cape Riche, W.A., G. Maxwell (MEL 49361, PERTH)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