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latifolia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"N. coast [of Australia] ?, Bauer"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Acacia latifolia. Australia, Bauer (K barcode 793971)</w:t>
      </w:r>
      <w:proofErr w:type="spellEnd"/>
      <w:r w:rsidRPr="009A6983">
        <w:rPr>
          <w:b/>
        </w:rPr>
        <w:t xml:space="preserve"> Source:</w:t>
      </w:r>
      <w:r>
        <w:t xml:space="preserve"> Orchard (2018)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specimen "Carpentaria Islands h-g, 16-25 Dec. 1802, Brown "4378" (BM, holo; K, iso)" that was cited by Pedley (1978) and followed in Fl. Australia 11B: 159 (2001) is not the type of this name. As noted by Orchard, the Pedley treatment was effectively a neotype because the collector did not match the protologue. 'North Coast? Bauer' [Carpentaria Islands, h-g, N.T., 16–25 Dec. 1802, R.Brown '4378', fide L. Pedley 1978: 163] (BM0; isotypes: K, NSW.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latifolium</w:t>
      </w:r>
      <w:r>
        <w:t xml:space="preserve"> (Benth.)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latifolium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latifolia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