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hammondii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51:95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Lower Victoria River, N.T., F. Mueller 93 (NSW); isotypes: K, MEL</w:t>
      </w:r>
      <w:proofErr w:type="spellEnd"/>
      <w:r w:rsidRPr="009A6983">
        <w:rPr>
          <w:b/>
        </w:rPr>
        <w:t xml:space="preserve"> Source:</w:t>
      </w:r>
      <w:r>
        <w:t xml:space="preserve"> Fl. Australia 11B: 195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hammondii</w:t>
      </w:r>
      <w:r>
        <w:t xml:space="preserve"> (Maiden)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sphaerogemma</w:t>
      </w:r>
      <w:r>
        <w:t xml:space="preserve"> Maiden &amp; Blakely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plectocarpa</w:t>
      </w:r>
      <w:r>
        <w:t xml:space="preserve"> sens. F.Muell.</w:t>
      </w:r>
      <w:r>
        <w:t xml:space="preserve"> (1888)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hammondii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hammondii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hammondii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sphaerogemma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13:30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195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hammondii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Walmudja, Roper River, N.T., May 1921, N.B. Tindale 24 (NSW);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195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plectocarpa</w:t>
      </w:r>
      <w:r>
        <w:t xml:space="preserve"> sens.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10: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195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hammondii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Fide J.H. Maiden, J. &amp; Proc. Roy. Soc. New South Wales 51: 59 (1917).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