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craspedocarpa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2:73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Randell, J. Adelaide Bot. Gard. 14: 127, 1992): Lake Austin, W.A., n.d., H.S. King s.n. (NSW); isolectotype: MEL. Remaining syntype: between Yuin and Murchison River, s.d., E. Giles s.n. (MEL n.v., PERTH)</w:t>
      </w:r>
      <w:proofErr w:type="spellEnd"/>
      <w:r w:rsidRPr="009A6983">
        <w:rPr>
          <w:b/>
        </w:rPr>
        <w:t xml:space="preserve"> Source:</w:t>
      </w:r>
      <w:r>
        <w:t xml:space="preserve"> Fl. Australia 11B: 325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Australia. INDIAN SUBCONTINENT [I]: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craspedocarpum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euphleba</w:t>
      </w:r>
      <w:r>
        <w:t xml:space="preserve"> W.Fitzg.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craspedocarpum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craspedocarpa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craspedocarpa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euphleba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craspedocarpa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Randell, J. Adelaide Bot. Gard. 14(2): 127, 1992): near Millys Soak, near Cue, Murchison River District, Western Australia, September 1903, W.V. Fitzgerald s.n. (NSW); isolectotypes: NSW, PERTH 00751561, PERTH 00694312, fragment). Remaining syntype: Gwalia, Western Australia, November 1903, W.V.Fitzgerald s.n. (n.v.)</w:t>
      </w:r>
      <w:proofErr w:type="spellEnd"/>
      <w:r w:rsidRPr="009A6983">
        <w:rPr>
          <w:b/>
        </w:rPr>
        <w:t xml:space="preserve"> Source:</w:t>
      </w:r>
      <w:r>
        <w:t xml:space="preserve"> Maslin &amp; Reid (2012: 198)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