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biflora</w:t>
      </w:r>
      <w:r>
        <w:t xml:space="preserve"> R.Br.</w:t>
      </w:r>
      <w:r w:rsidR="00780DEE" w:rsidRPr="00780DEE">
        <w:rPr>
          <w:i/>
        </w:rPr>
        <w:t xml:space="preserve"> in W.T.Aiton, Hort. Kew. Ed. 2</w:t>
      </w:r>
      <w:proofErr w:type="spellStart"/>
      <w:r w:rsidR="00780DEE">
        <w:t xml:space="preserve"> 5:463</w:t>
      </w:r>
      <w:proofErr w:type="spellEnd"/>
      <w:r w:rsidR="00780DEE">
        <w:t xml:space="preserve"> (1813)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1978: 288): Bay 1 [Lucky Bay, E of Esperance], W.A., Jan. 1802, R. Brown (BM, [Britten no.] 4309); isolectotype: BM, E, K [superfluously relectotypified in B.R. Maslin &amp; R.S. Cowan, Nuytsia 10: 113 (1995)]</w:t>
      </w:r>
      <w:proofErr w:type="spellEnd"/>
      <w:r w:rsidRPr="009A6983">
        <w:rPr>
          <w:b/>
        </w:rPr>
        <w:t xml:space="preserve"> Source:</w:t>
      </w:r>
      <w:r>
        <w:t xml:space="preserve"> Fl. Australia 11A: 502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biflora</w:t>
      </w:r>
      <w:r w:rsidR="00041308">
        <w:t xml:space="preserve"> var.</w:t>
      </w:r>
      <w:r w:rsidR="00041308" w:rsidRPr="00815E7D">
        <w:rPr>
          <w:i/>
        </w:rPr>
        <w:t xml:space="preserve"> biflora</w:t>
      </w:r>
      <w:r>
        <w:t xml:space="preserve"> R.Br.</w:t>
      </w:r>
      <w:r>
        <w:t xml:space="preserve"> (1904)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biflorum</w:t>
      </w:r>
      <w:r>
        <w:t xml:space="preserve"> (R.Br.)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biflora</w:t>
      </w:r>
      <w:r>
        <w:t xml:space="preserve"> (R.Br.) Poir.</w:t>
      </w:r>
      <w:r>
        <w:t xml:space="preserve"> (1817)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triangularis</w:t>
      </w:r>
      <w:r>
        <w:t xml:space="preserve"> Benth.</w:t>
      </w:r>
      <w:r>
        <w:t xml:space="preserve"> (1837)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biflora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biflora</w:t>
      </w:r>
      <w:proofErr w:type="spellEnd"/>
      <w:r>
        <w:t xml:space="preserve"> R.Br.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35:298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biflora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R.Br.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biflora var. aurea E.Pritz. 1904.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biflorum</w:t>
      </w:r>
      <w:r>
        <w:t xml:space="preserve"> (R.Br.)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biflora</w:t>
      </w:r>
      <w:proofErr w:type="spellEnd"/>
      <w:r>
        <w:t xml:space="preserve"> R.Br.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biflora</w:t>
      </w:r>
      <w:r>
        <w:t xml:space="preserve"> R.Br.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biflora</w:t>
      </w:r>
      <w:r>
        <w:t xml:space="preserve"> (R.Br.)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5:530</w:t>
      </w:r>
      <w:proofErr w:type="spellEnd"/>
      <w:r w:rsidR="00780DEE">
        <w:t xml:space="preserve"> (1817)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11A: 502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biflora</w:t>
      </w:r>
      <w:proofErr w:type="spellEnd"/>
      <w:r>
        <w:t xml:space="preserve"> R.Br.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invalid (combination not actually made), following G. Perry &amp; P.G. Wilson (pers. comm. 1990).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biflora</w:t>
      </w:r>
      <w:r>
        <w:t xml:space="preserve"> R.Br.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triangularis</w:t>
      </w:r>
      <w:r>
        <w:t xml:space="preserve"> Benth.</w:t>
      </w:r>
      <w:r w:rsidR="00780DEE" w:rsidRPr="00780DEE">
        <w:rPr>
          <w:i/>
        </w:rPr>
        <w:t xml:space="preserve"> in S.L.Endlicher et al., Enum. Pl.</w:t>
      </w:r>
      <w:proofErr w:type="spellStart"/>
      <w:r w:rsidR="00780DEE">
        <w:t xml:space="preserve"> :42</w:t>
      </w:r>
      <w:proofErr w:type="spellEnd"/>
      <w:r w:rsidR="00780DEE">
        <w:t xml:space="preserve"> (1837)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502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biflora</w:t>
      </w:r>
      <w:proofErr w:type="spellEnd"/>
      <w:r>
        <w:t xml:space="preserve"> R.Br.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Australia, F.A. Bauer, ex herb. Vind. 1837 (K); isotype: W</w:t>
      </w:r>
      <w:proofErr w:type="spellEnd"/>
      <w:r w:rsidRPr="009A6983">
        <w:rPr>
          <w:b/>
        </w:rPr>
        <w:t xml:space="preserve"> Source:</w:t>
      </w:r>
      <w:r>
        <w:t xml:space="preserve"> Fl. Australia 11A: 502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