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willingii</w:t>
      </w:r>
      <w:r>
        <w:t xml:space="preserve"> Lewington &amp;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19(1):70-74</w:t>
      </w:r>
      <w:proofErr w:type="spellEnd"/>
      <w:r w:rsidR="00780DEE">
        <w:t xml:space="preserve"> (2009)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"Wade Creek area, Kimberley region, Western Australia [precise locality withheld for conservation reasons.], 18 September 2006, T. Willing s.n. (holo: PERTH 07418205, iso: CANB, DNA, K, MEL, NSW, NY, PERTH 07418191)."</w:t>
      </w:r>
      <w:proofErr w:type="spellEnd"/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sp. Wade Creek (C.A. Gardner 1543)</w:t>
      </w:r>
      <w:r>
        <w:t xml:space="preserve"> PN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sp. Wade Creek (C.A. Gardner 1543)</w:t>
      </w:r>
      <w:r w:rsidR="00AD1615">
        <w:t xml:space="preserve"> PN</w:t>
      </w:r>
      <w:r>
        <w:t xml:space="preserve"> 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willingii</w:t>
      </w:r>
      <w:proofErr w:type="spellEnd"/>
      <w:r>
        <w:t xml:space="preserve"> 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