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victoriae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fasciaria</w:t>
      </w:r>
      <w:proofErr w:type="spellEnd"/>
      <w:r>
        <w:t xml:space="preserve"> Ariati</w:t>
      </w:r>
      <w:r w:rsidR="00780DEE" w:rsidRPr="00780DEE">
        <w:rPr>
          <w:i/>
        </w:rPr>
        <w:t xml:space="preserve"> Austral. Syst. Bot.</w:t>
      </w:r>
      <w:proofErr w:type="spellStart"/>
      <w:r w:rsidR="00780DEE">
        <w:t xml:space="preserve"> 20:61</w:t>
      </w:r>
      <w:proofErr w:type="spellEnd"/>
      <w:r w:rsidR="00780DEE">
        <w:t xml:space="preserve"> (2007)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"Type: Queensland, Burke region, Beames Brook, 25 km SW of Burketown, 17º52'36"S, 139º20'30"E, B.S. Wannan 1838 &amp; R.L. Jago, 31 May 2000 (holotype NSW 443487; isotypes BRI, MEL)"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taxonomic status of this entity needs to be reviewed to determine if indeed it is a good taxon (B.R. Maslin, WorldWideWattle).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Queensland,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3 infraspecific taxa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