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microcybe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7(2):352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microcephala</w:t>
      </w:r>
      <w:r>
        <w:t xml:space="preserve"> Pedley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microcephala</w:t>
      </w:r>
      <w:r>
        <w:t xml:space="preserve"> Pedley</w:t>
      </w:r>
      <w:r>
        <w:t xml:space="preserve"> (1978)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microcephalum</w:t>
      </w:r>
      <w:r>
        <w:t xml:space="preserve">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microcephala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1:193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Pedley (2006: 352)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microcybe</w:t>
      </w:r>
      <w:proofErr w:type="spellEnd"/>
      <w:r>
        <w:t xml:space="preserve"> Pedley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"Queensland. Mitchell District: “Corinda”, c. 80 miles [130 km] N of Aramac, June 1949, S.L. Everist 3869 (holo: BRI; iso: NSW )."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non. Macfad. (1837), nec A.Rich. (1846).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microcephalum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Pedley (2006: 352)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microcybe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microcephala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