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mariae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7(2):348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"New South Wales. Pilliga, August 1977, J.Simmons s.n. (holo: BRI [AQ264814]; iso (n.v.): A, CANB, K, MEL, MO, NSW)."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tindaleae</w:t>
      </w:r>
      <w:r>
        <w:t xml:space="preserve"> sens. Maslin</w:t>
      </w:r>
      <w:r>
        <w:t xml:space="preserve"> (2001)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conferta</w:t>
      </w:r>
      <w:r>
        <w:t xml:space="preserve"> sens. Maslin</w:t>
      </w:r>
      <w:r>
        <w:t xml:space="preserve">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tindaleae</w:t>
      </w:r>
      <w:r>
        <w:t xml:space="preserve"> sens. Maslin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11A:347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Pedley (2006: 348)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mariae</w:t>
      </w:r>
      <w:proofErr w:type="spellEnd"/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majore (incl. t. 33A-C, but excl. type and specimen from Queensland cited): fide L. Pedley Austrobaileya 7(2): 348 (2006).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conferta</w:t>
      </w:r>
      <w:r>
        <w:t xml:space="preserve"> sens. Maslin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11A:347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mariae</w:t>
      </w:r>
      <w:proofErr w:type="spellEnd"/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Misapplied, not as to lectotype, as to Australia, Bauer; paralecto: 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