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bidwillii</w:t>
      </w:r>
      <w:r>
        <w:t xml:space="preserve"> (Benth.)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bidwillii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bidwillii</w:t>
      </w:r>
      <w:r>
        <w:t xml:space="preserve"> Benth.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bidwillii</w:t>
      </w:r>
      <w:r w:rsidR="00041308">
        <w:t xml:space="preserve"> var.</w:t>
      </w:r>
      <w:r w:rsidR="00041308" w:rsidRPr="00815E7D">
        <w:rPr>
          <w:i/>
        </w:rPr>
        <w:t xml:space="preserve"> bidwillii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leptoclada</w:t>
      </w:r>
      <w:r w:rsidR="00041308">
        <w:t xml:space="preserve"> var.</w:t>
      </w:r>
      <w:r w:rsidR="00041308" w:rsidRPr="00815E7D">
        <w:rPr>
          <w:i/>
        </w:rPr>
        <w:t xml:space="preserve"> polyphylla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bidwillii</w:t>
      </w:r>
      <w:r w:rsidR="00041308">
        <w:t xml:space="preserve"> var.</w:t>
      </w:r>
      <w:r w:rsidR="00041308" w:rsidRPr="00815E7D">
        <w:rPr>
          <w:i/>
        </w:rPr>
        <w:t xml:space="preserve"> polytricha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bidwillii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r>
        <w:t xml:space="preserve"> (Benth.)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'Ad Wide-Bay, Australiae boreali-orientalis (Bidwill)' (K)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bidwillii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2:420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bidwillii var. major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'East Coast' [Queensland], R. Brown [Bennett sheet No. 4331], 1802–5 (K, NSW - photo)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polytricha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"Nord-Queensland: Savannenwälder bei Mungana (Domin II. 1910)"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in xerodrymio apud opp. Mungana, K. Domin '5148', Feb. 1910 (PR 527948)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