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whitei</w:t>
      </w:r>
      <w:r>
        <w:t xml:space="preserve"> Maiden</w:t>
      </w:r>
      <w:r w:rsidR="00780DEE" w:rsidRPr="00780DEE">
        <w:rPr>
          <w:i/>
        </w:rPr>
        <w:t xml:space="preserve"> Proc. Roy. Soc. Queensland</w:t>
      </w:r>
      <w:proofErr w:type="spellStart"/>
      <w:r w:rsidR="00780DEE">
        <w:t xml:space="preserve"> 30:35</w:t>
      </w:r>
      <w:proofErr w:type="spellEnd"/>
      <w:r w:rsidR="00780DEE">
        <w:t xml:space="preserve"> (1918)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Kodela 2013: 79): Queensland: Stannary Hills, T.L. Bancroft s.n., anno 1910 [1909] (NSW108134 , ex BRI); possible isolectotypes (otherwise residual syntypes): T.L. Bancroft 171, 30 Nov 1909 (supplied as "1910") (as cited in AVH 2013), BRI AQ22805 n.v.; T.L. Bancroft 171, undated (as cited by AVH 2013), BRI AQ197844 n.v.</w:t>
      </w:r>
      <w:proofErr w:type="spellEnd"/>
      <w:r w:rsidRPr="009A6983">
        <w:rPr>
          <w:b/>
        </w:rPr>
        <w:t xml:space="preserve"> Source:</w:t>
      </w:r>
      <w:r>
        <w:t xml:space="preserve"> Kodela (2013: 79)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whitei</w:t>
      </w:r>
      <w:r>
        <w:t xml:space="preserve"> (Maiden)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whitei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whitei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whitei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