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uncinata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16: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"Native of New South Wales. Our drawing was made in the greenhouse of the Comte de Vandels, July 1828"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uncinatum</w:t>
      </w:r>
      <w:r>
        <w:t xml:space="preserve"> (Lindl.)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oleifolia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oleaefolia</w:t>
      </w:r>
      <w:r>
        <w:t xml:space="preserve"> A.Cunn. &amp; G.Don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oleaefolia</w:t>
      </w:r>
      <w:r>
        <w:t xml:space="preserve"> A.Cunn. ex G.Don</w:t>
      </w:r>
      <w:r>
        <w:t xml:space="preserve"> (1893)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dysophylla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undulifolia</w:t>
      </w:r>
      <w:r w:rsidR="00041308">
        <w:t xml:space="preserve"> var.</w:t>
      </w:r>
      <w:r w:rsidR="00041308" w:rsidRPr="00815E7D">
        <w:rPr>
          <w:i/>
        </w:rPr>
        <w:t xml:space="preserve"> dysophylla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oleifolia</w:t>
      </w:r>
      <w:r>
        <w:t xml:space="preserve"> A.Cunn.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>
        <w:t xml:space="preserve"> sens. Pedley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uncinatum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uncinata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oleifolia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"Native of New South Wales"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uncinata Lindl.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oleaefolia</w:t>
      </w:r>
      <w:r>
        <w:t xml:space="preserve"> A.Cunn. &amp; G.Don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and authority in the protologue is Acacia oleifolia A.Cunn. ex G.Don.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oleaefolia</w:t>
      </w:r>
      <w:r>
        <w:t xml:space="preserve"> A.Cunn. ex G.Don</w:t>
      </w:r>
      <w:r w:rsidR="00780DEE" w:rsidRPr="00780DEE">
        <w:rPr>
          <w:i/>
        </w:rPr>
        <w:t xml:space="preserve"> Index Kew.</w:t>
      </w:r>
      <w:proofErr w:type="spellStart"/>
      <w:r w:rsidR="00780DEE">
        <w:t xml:space="preserve"> 1:11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dysophylla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'Acacia podalyrifolia' [in Cunningham's hand], 'Pine ridge, nr Croker's range in fr [fruit] Novr. [Nov.]' [probably in Bentham's hand, not Cunningham's], 'A shrub observed on the exposed rocky acclivity of a steep pine (Callitris) ridge near Croker's range bearing fruit in Novr. 1825' [in Bentham's hand], Nov. 1825, [A.] Cunningham 83 (K, herb. Hookerianum, 2 specimens). Possible syntype: 'Acacia dysophylla Benth., London J. Bot. 1. 346 Croker's Range, 1842, [A.] Cunningham, [ex] Heward [possibly referring to date of protologue]' [all in Bentham's hand] (K, herb. Benthamianum)</w:t>
      </w:r>
      <w:proofErr w:type="spellEnd"/>
      <w:r w:rsidRPr="009A6983">
        <w:rPr>
          <w:b/>
        </w:rPr>
        <w:t xml:space="preserve"> Source:</w:t>
      </w:r>
      <w:r>
        <w:t xml:space="preserve"> Fl. Australia 11A: 351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dysophylla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dysophylla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oleifolia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4:6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A. Cunn. ex G.Lodd. (1929): fide Conn &amp; Tame (1996: 845).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