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subtilinervis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4:8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granite hills about Mt Imlay, [N.S.W.], F. Mueller s.n. (MEL n.v.);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subtilinerve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subtilinervis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subtilinerve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subtilinervis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subtilinervis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subtilinervis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2:32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subtilinervis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