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polyadenia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3:216</w:t>
      </w:r>
      <w:proofErr w:type="spellEnd"/>
      <w:r w:rsidR="00780DEE">
        <w:t xml:space="preserve"> (1990)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Racosperma polyadenium</w:t>
      </w:r>
      <w:r>
        <w:t xml:space="preserve"> Pedley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polyadenium</w:t>
      </w:r>
      <w:r>
        <w:t xml:space="preserve">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drepanocarpa</w:t>
      </w:r>
      <w:r>
        <w:t xml:space="preserve"> sens. Benth.</w:t>
      </w:r>
      <w:r>
        <w:t xml:space="preserve"> (1864)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polyadenium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2:322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257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polyadenia</w:t>
      </w:r>
      <w:proofErr w:type="spellEnd"/>
      <w:r>
        <w:t xml:space="preserve"> (Pedley)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drepanocarpa</w:t>
      </w:r>
      <w:r>
        <w:t xml:space="preserve"> sens.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2:402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11B: 257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polyadenia</w:t>
      </w:r>
      <w:proofErr w:type="spellEnd"/>
      <w:r>
        <w:t xml:space="preserve"> (Pedley)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pro parte, as to the Henne specimens cited, fide L. Pedley, Austrobaileya 2: 322 (1987).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