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latescens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Contr. Queensland Herb. 15: 2, 1974): May Day Is., Van Dieman Gulf [N.T.], May 1818, A. Cunningham 295 (K); isolectotypes: K, PERTH (fragment ex K); possible isolectotypes: A, NSW, NY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(var.grandifolia, var.grandifolia)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latescens</w:t>
      </w:r>
      <w:r w:rsidR="00041308">
        <w:t xml:space="preserve"> var.</w:t>
      </w:r>
      <w:r w:rsidR="00041308" w:rsidRPr="00815E7D">
        <w:rPr>
          <w:i/>
        </w:rPr>
        <w:t xml:space="preserve"> latescens</w:t>
      </w:r>
      <w:r>
        <w:t xml:space="preserve">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latescens</w:t>
      </w:r>
      <w:r>
        <w:t xml:space="preserve"> (Benth.) Pedley</w:t>
      </w:r>
      <w:r>
        <w:t xml:space="preserve"> (1988)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dineura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dissoneura</w:t>
      </w:r>
      <w:r>
        <w:t xml:space="preserve"> F.Muell.</w:t>
      </w:r>
      <w:r>
        <w:t xml:space="preserve"> (1882)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latescens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latescens var. grandifolia F.Muell.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latescens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dineura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Roper River, N.T., F. Mueller 31 (MEL); isotypes: K,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dissoneura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vicinity of Port Darwin, [N.T.], F. Schultz 336 (K, MEL, PERTH--fragment ex MEL). (2) near Liverpool River, [N.T.], B. Gulliver (MEL, NSW, PERTH 00975540--fragment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