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difformis</w:t>
      </w:r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22:154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 (1) Rylestone (Bylong), N.S.W., Sept. 1895, R.T. Baker (NSW). (2) Diligah via Merrygoen, N.S.W., 9 Feb. 1897, H.A. Patrick (NSW). (3) Cobar, N.S.W., J.M. Curran (n.v.). (4) Tocumwal (without other details) (n.v.)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difforme</w:t>
      </w:r>
      <w:r>
        <w:t xml:space="preserve"> (R.T.Baker)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difforme</w:t>
      </w:r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difformis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difformis</w:t>
      </w:r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