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cana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53:v, errata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eremea</w:t>
      </w:r>
      <w:r>
        <w:t xml:space="preserve"> Maiden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eremea</w:t>
      </w:r>
      <w:r>
        <w:t xml:space="preserve"> Maiden</w:t>
      </w:r>
      <w:r>
        <w:t xml:space="preserve"> (1920)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canum</w:t>
      </w:r>
      <w:r>
        <w:t xml:space="preserve"> (Maiden)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eremea</w:t>
      </w:r>
      <w:r>
        <w:t xml:space="preserve"> Maiden</w:t>
      </w:r>
      <w:r w:rsidR="00780DEE" w:rsidRPr="00780DEE">
        <w:rPr>
          <w:i/>
        </w:rPr>
        <w:t xml:space="preserve"> J. Proc. Roy. Soc. New South Wales</w:t>
      </w:r>
      <w:proofErr w:type="spellStart"/>
      <w:r w:rsidR="00780DEE">
        <w:t xml:space="preserve"> 53:206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115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cana</w:t>
      </w:r>
      <w:proofErr w:type="spellEnd"/>
      <w:r>
        <w:t xml:space="preserve"> Maiden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Milparinka, N.S.W., Sept. 1906, C.G. Ivey (NSW [Aug. 1905 written over Sept. 1906 on label]); isotype: K</w:t>
      </w:r>
      <w:proofErr w:type="spellEnd"/>
      <w:r w:rsidRPr="009A6983">
        <w:rPr>
          <w:b/>
        </w:rPr>
        <w:t xml:space="preserve"> Source:</w:t>
      </w:r>
      <w:r>
        <w:t xml:space="preserve"> Fl. Australia 11B: 115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C.R.P.Andrews, J. W. Austral. Nat. Hist. Soc. 1: 40 (1904).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canum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2:346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11B: 115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cana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cana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