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sutherlandii</w:t>
      </w:r>
      <w:r>
        <w:t xml:space="preserve"> (F.Muell.) F.Muell.</w:t>
      </w:r>
      <w:r w:rsidR="00780DEE" w:rsidRPr="00780DEE">
        <w:rPr>
          <w:i/>
        </w:rPr>
        <w:t xml:space="preserve"> Iconogr. Austral. Acacia</w:t>
      </w:r>
      <w:proofErr w:type="spellStart"/>
      <w:r w:rsidR="00780DEE">
        <w:t xml:space="preserve"> 12:</w:t>
      </w:r>
      <w:proofErr w:type="spellEnd"/>
      <w:r w:rsidR="00780DEE">
        <w:t xml:space="preserve"> (1888)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Kodela &amp;amp; Wilson (2006: 240)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sutherlandii</w:t>
      </w:r>
      <w:proofErr w:type="spellEnd"/>
      <w:r>
        <w:t xml:space="preserve"> (F.Muell.) Kodela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'Sutherlandi'.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Albizia sutherlandi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