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brownii</w:t>
      </w:r>
      <w:r>
        <w:t xml:space="preserve"> (Poir.) Steud.</w:t>
      </w:r>
      <w:r w:rsidR="00780DEE" w:rsidRPr="00780DEE">
        <w:rPr>
          <w:i/>
        </w:rPr>
        <w:t xml:space="preserve"> Nomencl. Bot.</w:t>
      </w:r>
      <w:proofErr w:type="spellStart"/>
      <w:r w:rsidR="00780DEE">
        <w:t xml:space="preserve"> :2</w:t>
      </w:r>
      <w:proofErr w:type="spellEnd"/>
      <w:r w:rsidR="00780DEE">
        <w:t xml:space="preserve"> (1821)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'brownei'.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acicularis</w:t>
      </w:r>
      <w:r>
        <w:t xml:space="preserve"> R.Br.</w:t>
      </w:r>
      <w:r>
        <w:t xml:space="preserve"> (1813)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brownei</w:t>
      </w:r>
      <w:r>
        <w:t xml:space="preserve">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juniperina</w:t>
      </w:r>
      <w:r w:rsidR="00041308">
        <w:t xml:space="preserve"> var.</w:t>
      </w:r>
      <w:r w:rsidR="00041308" w:rsidRPr="00815E7D">
        <w:rPr>
          <w:i/>
        </w:rPr>
        <w:t xml:space="preserve"> brownei</w:t>
      </w:r>
      <w:r>
        <w:t xml:space="preserve"> (Poir.)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ulicifolia</w:t>
      </w:r>
      <w:r w:rsidR="00041308">
        <w:t xml:space="preserve"> var.</w:t>
      </w:r>
      <w:r w:rsidR="00041308" w:rsidRPr="00815E7D">
        <w:rPr>
          <w:i/>
        </w:rPr>
        <w:t xml:space="preserve"> brownei</w:t>
      </w:r>
      <w:r>
        <w:t xml:space="preserve"> (Poir.) Pedley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brownei</w:t>
      </w:r>
      <w:r>
        <w:t xml:space="preserve"> (Poir.)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pugioniformis</w:t>
      </w:r>
      <w:r>
        <w:t xml:space="preserve"> H.L.Wendl.</w:t>
      </w:r>
      <w:r>
        <w:t xml:space="preserve"> (1819)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brownei</w:t>
      </w:r>
      <w:r>
        <w:t xml:space="preserve"> Steud.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arceuthos</w:t>
      </w:r>
      <w:r>
        <w:t xml:space="preserve"> Spreng.</w:t>
      </w:r>
      <w:r>
        <w:t xml:space="preserve"> (1826)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acicularis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5:460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&amp; R.S. Cowan 1995: 111): 'Mimosa ericaefolia', Port Jackson, N.S.W., Oct. 1803, R. Brown--central right hand specimen on sheet titled 'Iter Australiense, 1802-5' and bearing [Britten no.] 4300 (BM - flowering specimen)</w:t>
      </w:r>
      <w:proofErr w:type="spellEnd"/>
      <w:r w:rsidRPr="009A6983">
        <w:rPr>
          <w:b/>
        </w:rPr>
        <w:t xml:space="preserve"> Source:</w:t>
      </w:r>
      <w:r>
        <w:t xml:space="preserve"> Fl. Australia 11A: 466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brownei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acicularis R.Br. Poiret's Mimosa combinations in Encycl. Suppl. 5 are not validly published, however he provides the name Acacia brownei in brackets as a substitute name for A. acicularis R.Br. non Willd. It is uncertain whether the name A. brownei is validly published there.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brownei</w:t>
      </w:r>
      <w:proofErr w:type="spellEnd"/>
      <w:r>
        <w:t xml:space="preserve"> (Poir.)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ulicifolia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brownei</w:t>
      </w:r>
      <w:proofErr w:type="spellEnd"/>
      <w:r>
        <w:t xml:space="preserve"> (Poir.)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1:239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brownei</w:t>
      </w:r>
      <w:r>
        <w:t xml:space="preserve"> (Poir.)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pugioniformis</w:t>
      </w:r>
      <w:r>
        <w:t xml:space="preserve"> H.L.Wendl.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2:139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A. acicularis R.Br.).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brownei</w:t>
      </w:r>
      <w:r>
        <w:t xml:space="preserve"> Steud.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reference is given in L. Pedley, Austrobaileya 1: 239 (1980), however, Candolle correctly attributed the combination to Steudel. See note under Acacia brownii (Poir.) Steud. in Fl. Australia 11A: 466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arceuthos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Australia [N.S.W.], F. Sieber 463 (A, FI, G-DC, HAL, MEL, NSW, TO)</w:t>
      </w:r>
      <w:proofErr w:type="spellEnd"/>
      <w:r w:rsidRPr="009A6983">
        <w:rPr>
          <w:b/>
        </w:rPr>
        <w:t xml:space="preserve"> Source:</w:t>
      </w:r>
      <w:r>
        <w:t xml:space="preserve"> Fl. Australia 11A: 466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