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Lindl.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19:6-7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aspera subsp. parviceps N.G.Walsh 2004.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aspera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aspera</w:t>
      </w:r>
      <w:r w:rsidR="00041308">
        <w:t xml:space="preserve"> var.</w:t>
      </w:r>
      <w:r w:rsidR="00041308" w:rsidRPr="00815E7D">
        <w:rPr>
          <w:i/>
        </w:rPr>
        <w:t xml:space="preserve"> aspera</w:t>
      </w:r>
      <w:r>
        <w:t xml:space="preserve"> Lindl.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>
        <w:t xml:space="preserve"> Lindl.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densifolia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aspera</w:t>
      </w:r>
      <w:r w:rsidR="00041308">
        <w:t xml:space="preserve"> var.</w:t>
      </w:r>
      <w:r w:rsidR="00041308" w:rsidRPr="00815E7D">
        <w:rPr>
          <w:i/>
        </w:rPr>
        <w:t xml:space="preserve"> densifolia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erythrocephala</w:t>
      </w:r>
      <w:r>
        <w:t xml:space="preserve"> A.Cunn.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aspera var. densifolia (Benth.)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2:184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interior of New Holland [Mt Zero, near the Wimmera R., Vic.], 20 July 1836, T.L.Mitchell s.n. and 260 (CGE, K)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Link (1822).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densifolia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densifolia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erythrocephala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Lachlan River, N.S.W., Apr. 1817, A.Cunningham 425 (K). (2) banks of the Lachlan [River], N.S.W., A.Cunningham s.n. (K)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