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catenulata</w:t>
      </w:r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55:63</w:t>
      </w:r>
      <w:proofErr w:type="spellEnd"/>
      <w:r w:rsidR="00780DEE">
        <w:t xml:space="preserve"> (1944)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Mitchell and Morven, 6 Sept. 1941, Qld, C.T. White 12092 (BRI); isotypes: MEL, K</w:t>
      </w:r>
      <w:proofErr w:type="spellEnd"/>
      <w:r w:rsidRPr="009A6983">
        <w:rPr>
          <w:b/>
        </w:rPr>
        <w:t xml:space="preserve"> Source:</w:t>
      </w:r>
      <w:r>
        <w:t xml:space="preserve"> Fl. Australia 11B: 325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J.H. Maiden, Proc. Roy. Soc. Queensland 30: t. 4 fig. 6 (1918), shows a fruit of A. catenulata, fide L. Pedley, Proc. Roy. Soc. Queensland 74: 55 (1964).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(subsp.catenulata, subsp.occidentalis)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catenulatum</w:t>
      </w:r>
      <w:r>
        <w:t xml:space="preserve"> (C.T.White)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kempeana</w:t>
      </w:r>
      <w:r>
        <w:t xml:space="preserve"> F.Muell.</w:t>
      </w:r>
      <w:r>
        <w:t xml:space="preserve"> (1882)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leptostachya</w:t>
      </w:r>
      <w:r>
        <w:t xml:space="preserve"> sens. F.Muell.</w:t>
      </w:r>
      <w:r>
        <w:t xml:space="preserve"> (1888)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catenulatum</w:t>
      </w:r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catenulata</w:t>
      </w:r>
      <w:proofErr w:type="spellEnd"/>
      <w:r>
        <w:t xml:space="preserve"> C.T.White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catenulata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kempeana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5(51):26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Pedley (1978: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catenulata</w:t>
      </w:r>
      <w:proofErr w:type="spellEnd"/>
      <w:r>
        <w:t xml:space="preserve"> C.T.White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Armiditta, W.Barton 217 (MEL), fide L. Pedley, Austrobaileya 1: 145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leptostachya</w:t>
      </w:r>
      <w:r>
        <w:t xml:space="preserve"> sens.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10: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(1964: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catenulata</w:t>
      </w:r>
      <w:proofErr w:type="spellEnd"/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