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mitodes</w:t>
      </w:r>
      <w:r>
        <w:t xml:space="preserve"> A.S.George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82(2):71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Lycopodiifoliae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Carson Escarpment, Drysdale River National Park, W.A., 14º49'S, 126º49'E, 2 June 1996, A.A. Mitchell 4404 (PERTH); isotypes: CANB, K</w:t>
      </w:r>
      <w:proofErr w:type="spellEnd"/>
      <w:r w:rsidRPr="009A6983">
        <w:rPr>
          <w:b/>
        </w:rPr>
        <w:t xml:space="preserve"> Source:</w:t>
      </w:r>
      <w:r>
        <w:t xml:space="preserve"> Fl. Australia 11B: 396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mitodes</w:t>
      </w:r>
      <w:r>
        <w:t xml:space="preserve"> (A.S.George)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mitodes</w:t>
      </w:r>
      <w:r>
        <w:t xml:space="preserve"> (A.S.George)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mitodes</w:t>
      </w:r>
      <w:proofErr w:type="spellEnd"/>
      <w:r>
        <w:t xml:space="preserve"> A.S.George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mitodes</w:t>
      </w:r>
      <w:r>
        <w:t xml:space="preserve"> A.S.George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