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microbotrya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borealis</w:t>
      </w:r>
      <w:proofErr w:type="spellEnd"/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35:300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daphnifolia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Meisn.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"in distr. Irwin occurrit: prope Watheroo et ad Irwin Riv. Superiorem pr. Mingenew a nobis collecta. Species Majo-Julio floret." [mainly in Irwin district: near Watheroo and to the Irwin River N of Mingenew, flowering May--July]"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Syntype: Watheroo, W.A., 8 June 1901, L. Diels 3024 (B)</w:t>
      </w:r>
      <w:proofErr w:type="spellEnd"/>
      <w:r w:rsidRPr="009A6983">
        <w:rPr>
          <w:b/>
        </w:rPr>
        <w:t xml:space="preserve"> Source:</w:t>
      </w:r>
      <w:r>
        <w:t xml:space="preserve"> WorldWideWattle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