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mutabilis</w:t>
      </w:r>
      <w:r>
        <w:t xml:space="preserve">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12(3):371</w:t>
      </w:r>
      <w:proofErr w:type="spellEnd"/>
      <w:r w:rsidR="00780DEE">
        <w:t xml:space="preserve"> (1999)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 of Scaddan, W.A., 7 Aug. 1970, K.M. Allan 355 (PERTH); isotype: K</w:t>
      </w:r>
      <w:proofErr w:type="spellEnd"/>
      <w:r w:rsidRPr="009A6983">
        <w:rPr>
          <w:b/>
        </w:rPr>
        <w:t xml:space="preserve"> Source:</w:t>
      </w:r>
      <w:r>
        <w:t xml:space="preserve"> Fl. Australia 11A: 573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South Australia, Western Australia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6 infraspecific taxa (subsp.angustifolia, subsp.incurva, subsp.mutabilis, subsp.rhynchophylla, subsp.stipulifera, subsp.Young River(G.F.Craig 2052))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mutabile</w:t>
      </w:r>
      <w:r>
        <w:t xml:space="preserve"> (Maslin)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mutabile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mutabilis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mutabilis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