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adoxa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subglabra</w:t>
      </w:r>
      <w:proofErr w:type="spellEnd"/>
      <w:r>
        <w:t xml:space="preserve">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11:7</w:t>
      </w:r>
      <w:proofErr w:type="spellEnd"/>
      <w:r w:rsidR="00780DEE">
        <w:t xml:space="preserve"> (1972)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Lycopodiifoliae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De Grey Stn, W.A., July 1941, N.T. Burbidge 1609 (PERTH)</w:t>
      </w:r>
      <w:proofErr w:type="spellEnd"/>
      <w:r w:rsidRPr="009A6983">
        <w:rPr>
          <w:b/>
        </w:rPr>
        <w:t xml:space="preserve"> Source:</w:t>
      </w:r>
      <w:r>
        <w:t xml:space="preserve"> Fl. Australia 11B: 390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adoxum</w:t>
      </w:r>
      <w:r w:rsidR="00041308">
        <w:t xml:space="preserve"> var.</w:t>
      </w:r>
      <w:r w:rsidR="00041308" w:rsidRPr="00815E7D">
        <w:rPr>
          <w:i/>
        </w:rPr>
        <w:t xml:space="preserve"> subglabrum</w:t>
      </w:r>
      <w:r>
        <w:t xml:space="preserve"> (Pedley)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adoxum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subglabrum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adoxa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subglabra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adoxa</w:t>
      </w:r>
      <w:r>
        <w:t xml:space="preserve"> var.</w:t>
      </w:r>
      <w:r w:rsidRPr="00815E7D">
        <w:rPr>
          <w:i/>
        </w:rPr>
        <w:t xml:space="preserve"> subglabra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