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mutabilis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mutabilis</w:t>
      </w:r>
      <w:proofErr w:type="spellEnd"/>
      <w:r>
        <w:t xml:space="preserve">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12(3):373-376</w:t>
      </w:r>
      <w:proofErr w:type="spellEnd"/>
      <w:r w:rsidR="00780DEE">
        <w:t xml:space="preserve"> (1999)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mutabilis subsp. angustifolia &amp; three other subspecies in Maslin, Nuytsia 12(3): 373-376 (1999).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6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mutabilis</w:t>
      </w:r>
      <w:r>
        <w:t xml:space="preserve"> Maslin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mutabile</w:t>
      </w:r>
      <w:r w:rsidR="00041308">
        <w:t xml:space="preserve"> subsp.</w:t>
      </w:r>
      <w:r w:rsidR="00041308" w:rsidRPr="00815E7D">
        <w:rPr>
          <w:i/>
        </w:rPr>
        <w:t xml:space="preserve"> mutabile</w:t>
      </w:r>
      <w:r>
        <w:t xml:space="preserve"> (Maslin)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mutabile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mutabile</w:t>
      </w:r>
      <w:proofErr w:type="spellEnd"/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6(3):477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mutabilis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mutabilis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mutabilis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