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brumalis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10:185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Mortlock River, c. 12 km S of Goomalling towards Toodyay, W.A., 27 Aug. 1976, B.R. Maslin 4198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11A: 287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brumale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leiophylla</w:t>
      </w:r>
      <w:r>
        <w:t xml:space="preserve"> sens. Meisn.</w:t>
      </w:r>
      <w:r>
        <w:t xml:space="preserve"> (1848)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brumale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brumalis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brumalis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leiophylla</w:t>
      </w:r>
      <w:r>
        <w:t xml:space="preserve"> sens.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2:203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brumalis</w:t>
      </w:r>
      <w:proofErr w:type="spellEnd"/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