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ancistrophylla</w:t>
      </w:r>
      <w:proofErr w:type="spellEnd"/>
      <w:r>
        <w:t xml:space="preserve"> C.R.P.Andrews</w:t>
      </w:r>
      <w:r w:rsidR="00780DEE" w:rsidRPr="00780DEE">
        <w:rPr>
          <w:i/>
        </w:rPr>
        <w:t xml:space="preserve"> in D.J.E.Whibley &amp; D.E.Symon, Acacias S. Australia</w:t>
      </w:r>
      <w:proofErr w:type="spellStart"/>
      <w:r w:rsidR="00780DEE">
        <w:t xml:space="preserve"> :206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ancistrophylla var. lissophylla (J.M.Black) R.S.Cowan &amp; Maslin 1992.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ancistrophyllum</w:t>
      </w:r>
      <w:r w:rsidR="00041308">
        <w:t xml:space="preserve"> var.</w:t>
      </w:r>
      <w:r w:rsidR="00041308" w:rsidRPr="00815E7D">
        <w:rPr>
          <w:i/>
        </w:rPr>
        <w:t xml:space="preserve"> ancistrophyllum</w:t>
      </w:r>
      <w:r>
        <w:t xml:space="preserve"> (C.R.P.Andrews)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ancistrophyllum</w:t>
      </w:r>
      <w:proofErr w:type="spellEnd"/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ancistrophylla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ancistrophyllum var. lissophyllum (J.M.Black) Pedley and var. perarcuatum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