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moirii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moirii</w:t>
      </w:r>
      <w:proofErr w:type="spellEnd"/>
      <w:r>
        <w:t xml:space="preserve"> E.Pritz.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1:258</w:t>
      </w:r>
      <w:proofErr w:type="spellEnd"/>
      <w:r w:rsidR="00780DEE">
        <w:t xml:space="preserve"> (1972)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Pulchellae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moirii subsp. recurvistipula Maslin.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moirii</w:t>
      </w:r>
      <w:r>
        <w:t xml:space="preserve"> E.Pritz.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moirii</w:t>
      </w:r>
      <w:r w:rsidR="00041308">
        <w:t xml:space="preserve"> subsp.</w:t>
      </w:r>
      <w:r w:rsidR="00041308" w:rsidRPr="00815E7D">
        <w:rPr>
          <w:i/>
        </w:rPr>
        <w:t xml:space="preserve"> moirii</w:t>
      </w:r>
      <w:r>
        <w:t xml:space="preserve"> (E.Pritz.)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moirii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moirii</w:t>
      </w:r>
      <w:proofErr w:type="spellEnd"/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moirii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moirii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moirii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