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pulchella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grandis</w:t>
      </w:r>
      <w:proofErr w:type="spellEnd"/>
      <w:r>
        <w:t xml:space="preserve"> (Hort. ex Henfr.) Burtt Davy</w:t>
      </w:r>
      <w:r w:rsidR="00780DEE" w:rsidRPr="00780DEE">
        <w:rPr>
          <w:i/>
        </w:rPr>
        <w:t xml:space="preserve"> Cycl. Amer. Hort.</w:t>
      </w:r>
      <w:proofErr w:type="spellStart"/>
      <w:r w:rsidR="00780DEE">
        <w:t xml:space="preserve"> 1:8</w:t>
      </w:r>
      <w:proofErr w:type="spellEnd"/>
      <w:r w:rsidR="00780DEE">
        <w:t xml:space="preserve"> (1900)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418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glaberrima</w:t>
      </w:r>
      <w:proofErr w:type="spellEnd"/>
      <w:r>
        <w:t xml:space="preserve"> Meisn.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grandis</w:t>
      </w:r>
      <w:r>
        <w:t xml:space="preserve"> hort. ex Henfr.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