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grandis</w:t>
      </w:r>
      <w:r>
        <w:t xml:space="preserve"> hort. ex Jacques</w:t>
      </w:r>
      <w:r w:rsidR="00780DEE" w:rsidRPr="00780DEE">
        <w:rPr>
          <w:i/>
        </w:rPr>
        <w:t xml:space="preserve"> J. Soc. Imp. Centr. Hort.</w:t>
      </w:r>
      <w:proofErr w:type="spellStart"/>
      <w:r w:rsidR="00780DEE">
        <w:t xml:space="preserve"> 6:411</w:t>
      </w:r>
      <w:proofErr w:type="spellEnd"/>
      <w:r w:rsidR="00780DEE">
        <w:t xml:space="preserve"> (1860)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11B: 418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r>
        <w:t xml:space="preserve"> Meisn.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hort. ex Henfr. (1851).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