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wightii</w:t>
      </w:r>
      <w:r>
        <w:t xml:space="preserve"> Baker ex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30:506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Maslin (2014e: 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bolei</w:t>
      </w:r>
      <w:proofErr w:type="spellEnd"/>
      <w:r>
        <w:t xml:space="preserve"> (R.P.Subhedar)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(originally designated by Subhedar 1985: 440; second step by Deshpande et al. 2018: 134): INDIA. Travancore, Sea Coast, Tinnevelly District, June 1835, Wight 896 (K000791143). Isolectotype &amp; syntype: see Deshpande et al. 2018</w:t>
      </w:r>
      <w:proofErr w:type="spellEnd"/>
      <w:r w:rsidRPr="009A6983">
        <w:rPr>
          <w:b/>
        </w:rPr>
        <w:t xml:space="preserve"> Source:</w:t>
      </w:r>
      <w:r>
        <w:t xml:space="preserve"> Deshpande et al. (2019)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Graham ex Wight &amp; Arn. (1834). Chakrabarty &amp; Gangopadhyay (1996: 603) record that there is also an isolectotype at 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