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praecox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hassleri</w:t>
      </w:r>
      <w:proofErr w:type="spellEnd"/>
      <w:r>
        <w:t xml:space="preserve"> (Chodat)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hassleri</w:t>
      </w:r>
      <w:r>
        <w:t xml:space="preserve"> Chodat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