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gamblei</w:t>
      </w:r>
      <w:r>
        <w:t xml:space="preserve"> Bahadur &amp; R.C.Gaur</w:t>
      </w:r>
      <w:r w:rsidR="00780DEE" w:rsidRPr="00780DEE">
        <w:rPr>
          <w:i/>
        </w:rPr>
        <w:t xml:space="preserve"> Acta Bot. Indica</w:t>
      </w:r>
      <w:proofErr w:type="spellStart"/>
      <w:r w:rsidR="00780DEE">
        <w:t xml:space="preserve"> 4(1):67</w:t>
      </w:r>
      <w:proofErr w:type="spellEnd"/>
      <w:r w:rsidR="00780DEE">
        <w:t xml:space="preserve"> (1976)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Maslin et al. (2019: 437)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"Wall. Cat. 5251."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(superfl.). When Bahadur and Gaur proposed this name they omitted to recognize Bentham's publication of the name A. rugata Buch.-Ham. ex Benth., Lond. J. Bot. 1: 514 (1842) which was based on the same type as A. gamblei.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rugata</w:t>
      </w:r>
      <w:r>
        <w:t xml:space="preserve"> Buch.-Ham.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