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(Speg.) Burkart ex Ciald.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25:77</w:t>
      </w:r>
      <w:proofErr w:type="spellEnd"/>
      <w:r w:rsidR="00780DEE">
        <w:t xml:space="preserve"> (1984)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farnesiana</w:t>
      </w:r>
      <w:r>
        <w:t xml:space="preserve"> forma</w:t>
      </w:r>
      <w:r w:rsidRPr="00815E7D">
        <w:rPr>
          <w:i/>
        </w:rPr>
        <w:t xml:space="preserve"> microcarpa</w:t>
      </w:r>
      <w:r>
        <w:t xml:space="preserve">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